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824F29">
        <w:rPr>
          <w:rFonts w:ascii="Arial" w:hAnsi="Arial" w:cs="Arial"/>
          <w:b/>
          <w:sz w:val="18"/>
          <w:szCs w:val="18"/>
          <w:u w:val="single"/>
        </w:rPr>
        <w:t>1</w:t>
      </w:r>
      <w:r w:rsidR="001B24FB">
        <w:rPr>
          <w:rFonts w:ascii="Arial" w:hAnsi="Arial" w:cs="Arial"/>
          <w:b/>
          <w:sz w:val="18"/>
          <w:szCs w:val="18"/>
          <w:u w:val="single"/>
        </w:rPr>
        <w:t>7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1B24FB">
        <w:rPr>
          <w:rFonts w:ascii="Arial" w:hAnsi="Arial" w:cs="Arial"/>
          <w:b/>
          <w:sz w:val="18"/>
          <w:szCs w:val="18"/>
          <w:u w:val="single"/>
        </w:rPr>
        <w:t>21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1B24FB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  <w:r w:rsidR="001B24F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547525" w:rsidRDefault="001B24FB" w:rsidP="001B24FB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In-Service</w:t>
            </w:r>
          </w:p>
          <w:p w:rsidR="001B24FB" w:rsidRDefault="001B24FB" w:rsidP="001B24FB">
            <w:pPr>
              <w:rPr>
                <w:rFonts w:ascii="Arial" w:hAnsi="Arial" w:cs="Arial"/>
                <w:sz w:val="18"/>
                <w:szCs w:val="18"/>
              </w:rPr>
            </w:pPr>
          </w:p>
          <w:p w:rsidR="001B24FB" w:rsidRPr="008F19DB" w:rsidRDefault="001B24FB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:rsidR="00547525" w:rsidRPr="008F19DB" w:rsidRDefault="00547525" w:rsidP="00824F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D9D9D9" w:themeFill="background1" w:themeFillShade="D9"/>
          </w:tcPr>
          <w:p w:rsidR="00547525" w:rsidRPr="008F19DB" w:rsidRDefault="001B24FB" w:rsidP="001B24FB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547525" w:rsidRPr="008F19DB" w:rsidRDefault="001B24FB" w:rsidP="001B24F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  <w:r w:rsidR="001B24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1B24F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24FB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1B24FB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1B24FB">
              <w:rPr>
                <w:rFonts w:ascii="Arial" w:hAnsi="Arial" w:cs="Arial"/>
                <w:sz w:val="18"/>
                <w:szCs w:val="18"/>
              </w:rPr>
              <w:t>: What is REALLY bothering Hamlet?</w:t>
            </w:r>
          </w:p>
          <w:p w:rsidR="001B24FB" w:rsidRDefault="001B24FB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-“It Cannot Come to Good”: Hamlet’s Mental State</w:t>
            </w:r>
          </w:p>
          <w:p w:rsidR="009D1AF5" w:rsidRPr="008F19DB" w:rsidRDefault="000922AE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HW: Bl</w:t>
            </w:r>
            <w:r w:rsidR="001B24FB">
              <w:rPr>
                <w:rFonts w:ascii="Arial" w:hAnsi="Arial" w:cs="Arial"/>
                <w:sz w:val="18"/>
                <w:szCs w:val="18"/>
              </w:rPr>
              <w:t>og Entry: Select a character and write an entry from his/her perspective on the action of the play so far.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F27065" w:rsidRDefault="006C2DB3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824F29" w:rsidRDefault="00824F29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-Vocabulary DUE – (S)</w:t>
            </w:r>
          </w:p>
          <w:p w:rsidR="006E0A64" w:rsidRDefault="006E0A64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922AE">
              <w:rPr>
                <w:rFonts w:ascii="Arial" w:hAnsi="Arial" w:cs="Arial"/>
                <w:sz w:val="18"/>
                <w:szCs w:val="18"/>
              </w:rPr>
              <w:t>Bl</w:t>
            </w:r>
            <w:r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  <w:p w:rsidR="00547525" w:rsidRPr="008F19DB" w:rsidRDefault="00547525" w:rsidP="00824F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  <w:r w:rsidR="001B24F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7C4F66" w:rsidRDefault="00547525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547525" w:rsidRDefault="00547525" w:rsidP="00DA09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A3C94" w:rsidRPr="008F19DB" w:rsidRDefault="000A3C94" w:rsidP="007C4F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9D1AF5" w:rsidRDefault="009D1AF5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is one problem affecting Hamlet? Why? How?</w:t>
            </w:r>
          </w:p>
          <w:p w:rsidR="009D1AF5" w:rsidRDefault="009D1AF5" w:rsidP="00A028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-“Weighing Delight and Dole”: Hamlet v. Claudius</w:t>
            </w:r>
          </w:p>
          <w:p w:rsidR="003D410E" w:rsidRPr="008F19DB" w:rsidRDefault="009D1AF5" w:rsidP="000922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HW: </w:t>
            </w:r>
            <w:r w:rsidR="000922AE">
              <w:rPr>
                <w:rFonts w:ascii="Arial" w:hAnsi="Arial" w:cs="Arial"/>
                <w:sz w:val="18"/>
                <w:szCs w:val="18"/>
              </w:rPr>
              <w:t>Bl</w:t>
            </w:r>
            <w:r>
              <w:rPr>
                <w:rFonts w:ascii="Arial" w:hAnsi="Arial" w:cs="Arial"/>
                <w:sz w:val="18"/>
                <w:szCs w:val="18"/>
              </w:rPr>
              <w:t>og Entry: Paraphrase Hamlet’s “sullied flesh” soliloquy. What are his innermost thoughts?</w:t>
            </w: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8A35D6" w:rsidRDefault="000A3C94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0922AE" w:rsidP="000701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9D1AF5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5475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1B24F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8A35D6" w:rsidRDefault="00547525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-Apply close-reading techniques.</w:t>
            </w:r>
          </w:p>
          <w:p w:rsidR="00547525" w:rsidRPr="008A35D6" w:rsidRDefault="00547525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-Recognize universal themes in </w:t>
            </w:r>
            <w:r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3D410E" w:rsidRDefault="000922AE" w:rsidP="000922A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 xml:space="preserve"> </w:t>
            </w:r>
            <w:r w:rsidRPr="000922AE">
              <w:rPr>
                <w:rFonts w:ascii="Arial" w:hAnsi="Arial" w:cs="Arial"/>
                <w:sz w:val="18"/>
                <w:szCs w:val="18"/>
              </w:rPr>
              <w:t>How common do you believe the act of revenge is in everyday life?  Write about specific incidents from personal experience or those you have read about or witnessed.</w:t>
            </w:r>
          </w:p>
          <w:p w:rsidR="000922AE" w:rsidRPr="002E71AE" w:rsidRDefault="000922AE" w:rsidP="000922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-Conclude Act I. 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824F29" w:rsidRDefault="00824F29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3D410E" w:rsidRDefault="003D410E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E0A64" w:rsidRPr="008F19DB" w:rsidRDefault="000922AE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6E0A64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0922AE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Blog entry:</w:t>
            </w:r>
            <w:r>
              <w:t xml:space="preserve"> </w:t>
            </w:r>
            <w:r w:rsidRPr="000922AE">
              <w:rPr>
                <w:rFonts w:ascii="Arial" w:hAnsi="Arial" w:cs="Arial"/>
                <w:sz w:val="18"/>
                <w:szCs w:val="18"/>
              </w:rPr>
              <w:t xml:space="preserve">In </w:t>
            </w:r>
            <w:r>
              <w:rPr>
                <w:rFonts w:ascii="Arial" w:hAnsi="Arial" w:cs="Arial"/>
                <w:sz w:val="18"/>
                <w:szCs w:val="18"/>
              </w:rPr>
              <w:t>1.3</w:t>
            </w:r>
            <w:r w:rsidRPr="000922AE">
              <w:rPr>
                <w:rFonts w:ascii="Arial" w:hAnsi="Arial" w:cs="Arial"/>
                <w:sz w:val="18"/>
                <w:szCs w:val="18"/>
              </w:rPr>
              <w:t xml:space="preserve">, Polonius gives </w:t>
            </w:r>
            <w:proofErr w:type="spellStart"/>
            <w:r w:rsidRPr="000922AE">
              <w:rPr>
                <w:rFonts w:ascii="Arial" w:hAnsi="Arial" w:cs="Arial"/>
                <w:sz w:val="18"/>
                <w:szCs w:val="18"/>
              </w:rPr>
              <w:t>Laertes</w:t>
            </w:r>
            <w:proofErr w:type="spellEnd"/>
            <w:r w:rsidRPr="000922AE">
              <w:rPr>
                <w:rFonts w:ascii="Arial" w:hAnsi="Arial" w:cs="Arial"/>
                <w:sz w:val="18"/>
                <w:szCs w:val="18"/>
              </w:rPr>
              <w:t xml:space="preserve"> a great deal of “fatherly” a</w:t>
            </w:r>
            <w:r>
              <w:rPr>
                <w:rFonts w:ascii="Arial" w:hAnsi="Arial" w:cs="Arial"/>
                <w:sz w:val="18"/>
                <w:szCs w:val="18"/>
              </w:rPr>
              <w:t>dvice</w:t>
            </w:r>
            <w:r w:rsidRPr="000922AE">
              <w:rPr>
                <w:rFonts w:ascii="Arial" w:hAnsi="Arial" w:cs="Arial"/>
                <w:sz w:val="18"/>
                <w:szCs w:val="18"/>
              </w:rPr>
              <w:t>.  Does the passage contain advice you have heard from parents, teachers, or othe</w:t>
            </w:r>
            <w:r>
              <w:rPr>
                <w:rFonts w:ascii="Arial" w:hAnsi="Arial" w:cs="Arial"/>
                <w:sz w:val="18"/>
                <w:szCs w:val="18"/>
              </w:rPr>
              <w:t>rs?  How valuable is it</w:t>
            </w:r>
            <w:r w:rsidRPr="000922AE">
              <w:rPr>
                <w:rFonts w:ascii="Arial" w:hAnsi="Arial" w:cs="Arial"/>
                <w:sz w:val="18"/>
                <w:szCs w:val="18"/>
              </w:rPr>
              <w:t>?  Have you used it? Have you been involved in any situation to which this advice was applicable?</w:t>
            </w:r>
          </w:p>
        </w:tc>
      </w:tr>
      <w:tr w:rsidR="00746B1D" w:rsidRPr="008F19DB" w:rsidTr="00547525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1B24F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1B24FB"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746B1D" w:rsidRDefault="00746B1D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for L17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0121B9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1B24FB" w:rsidRPr="001B24FB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Blog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Project.</w:t>
            </w:r>
          </w:p>
        </w:tc>
        <w:tc>
          <w:tcPr>
            <w:tcW w:w="369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520A73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20616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74B11"/>
    <w:rsid w:val="001A365D"/>
    <w:rsid w:val="001B24FB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93731"/>
    <w:rsid w:val="008A35D6"/>
    <w:rsid w:val="008B3974"/>
    <w:rsid w:val="008C4AF9"/>
    <w:rsid w:val="008F19DB"/>
    <w:rsid w:val="00926CAE"/>
    <w:rsid w:val="00971CA0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2011-01-17T01:06:00Z</dcterms:created>
  <dcterms:modified xsi:type="dcterms:W3CDTF">2011-01-17T01:06:00Z</dcterms:modified>
</cp:coreProperties>
</file>